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D8" w:rsidRPr="00281525" w:rsidRDefault="005830D8" w:rsidP="005830D8">
      <w:pPr>
        <w:jc w:val="right"/>
        <w:rPr>
          <w:bCs/>
        </w:rPr>
      </w:pPr>
      <w:bookmarkStart w:id="0" w:name="_GoBack"/>
      <w:bookmarkEnd w:id="0"/>
      <w:r>
        <w:rPr>
          <w:bCs/>
          <w:i/>
          <w:iCs/>
          <w:szCs w:val="22"/>
        </w:rPr>
        <w:t>P</w:t>
      </w:r>
      <w:r w:rsidRPr="00281525">
        <w:rPr>
          <w:bCs/>
          <w:i/>
          <w:iCs/>
          <w:szCs w:val="22"/>
        </w:rPr>
        <w:t>rojekt</w:t>
      </w:r>
    </w:p>
    <w:p w:rsidR="005830D8" w:rsidRDefault="005830D8" w:rsidP="005830D8">
      <w:pPr>
        <w:jc w:val="center"/>
      </w:pPr>
      <w:r>
        <w:rPr>
          <w:b/>
          <w:szCs w:val="22"/>
        </w:rPr>
        <w:t>UCHWAŁA NR ....................</w:t>
      </w:r>
    </w:p>
    <w:p w:rsidR="005830D8" w:rsidRDefault="005830D8" w:rsidP="005830D8">
      <w:pPr>
        <w:jc w:val="center"/>
      </w:pPr>
      <w:r>
        <w:rPr>
          <w:b/>
          <w:szCs w:val="22"/>
        </w:rPr>
        <w:t>RADY GMINY NOZDRZEC</w:t>
      </w:r>
    </w:p>
    <w:p w:rsidR="005830D8" w:rsidRDefault="005830D8" w:rsidP="005830D8">
      <w:pPr>
        <w:jc w:val="center"/>
        <w:rPr>
          <w:b/>
          <w:szCs w:val="22"/>
        </w:rPr>
      </w:pPr>
      <w:r>
        <w:rPr>
          <w:b/>
          <w:szCs w:val="22"/>
        </w:rPr>
        <w:t>z dnia ....................</w:t>
      </w:r>
    </w:p>
    <w:p w:rsidR="005830D8" w:rsidRDefault="005830D8" w:rsidP="005830D8">
      <w:pPr>
        <w:jc w:val="center"/>
      </w:pPr>
    </w:p>
    <w:p w:rsidR="005830D8" w:rsidRDefault="005830D8" w:rsidP="005830D8">
      <w:pPr>
        <w:jc w:val="center"/>
        <w:rPr>
          <w:b/>
        </w:rPr>
      </w:pPr>
      <w:r>
        <w:rPr>
          <w:b/>
        </w:rPr>
        <w:t xml:space="preserve">w sprawie zamiaru przekształcenia Szkoły Podstawowej im. św. Jadwigi Królowej Polski z Oddziałem Przedszkolnym w Izdebkach poprzez </w:t>
      </w:r>
      <w:bookmarkStart w:id="1" w:name="_Hlk178072114"/>
      <w:r>
        <w:rPr>
          <w:b/>
        </w:rPr>
        <w:t>likwidację dodatkowej lokalizacji prowadzenia zajęć dydaktycznych, wychowawczych i opiekuńczych</w:t>
      </w:r>
      <w:bookmarkEnd w:id="1"/>
    </w:p>
    <w:p w:rsidR="005830D8" w:rsidRDefault="005830D8" w:rsidP="005830D8">
      <w:pPr>
        <w:jc w:val="center"/>
      </w:pPr>
    </w:p>
    <w:p w:rsidR="005830D8" w:rsidRDefault="005830D8" w:rsidP="005830D8">
      <w:pPr>
        <w:spacing w:before="240"/>
        <w:ind w:firstLine="708"/>
        <w:jc w:val="both"/>
      </w:pPr>
      <w:r>
        <w:rPr>
          <w:szCs w:val="22"/>
        </w:rPr>
        <w:t xml:space="preserve">Na podstawie art. 18 ust. 2 pkt 9 lit. h oraz pkt 15 ustawy z 8 marca 1990 r. o samorządzie gminnym (Dz. U. z 2024 r. poz. 1465 z późn. zm.) oraz art. 89 ust. 1, 3 i 9, art. 39 ust 7a </w:t>
      </w:r>
      <w:r>
        <w:rPr>
          <w:szCs w:val="22"/>
        </w:rPr>
        <w:br/>
      </w:r>
      <w:r>
        <w:rPr>
          <w:szCs w:val="22"/>
        </w:rPr>
        <w:t xml:space="preserve">w związku z art. 29 ust. 1 pkt 1 ustawy z 14 grudnia 2016 r. Prawo oświatowe (Dz. U. </w:t>
      </w:r>
      <w:r>
        <w:rPr>
          <w:szCs w:val="22"/>
        </w:rPr>
        <w:br/>
      </w:r>
      <w:r>
        <w:rPr>
          <w:szCs w:val="22"/>
        </w:rPr>
        <w:t xml:space="preserve">z 2024 r. poz. 737 z późn. zm.) </w:t>
      </w:r>
      <w:r>
        <w:rPr>
          <w:b/>
          <w:szCs w:val="22"/>
        </w:rPr>
        <w:t>uchwala się, co następuje:</w:t>
      </w:r>
    </w:p>
    <w:p w:rsidR="005830D8" w:rsidRDefault="005830D8" w:rsidP="005830D8">
      <w:pPr>
        <w:jc w:val="center"/>
        <w:rPr>
          <w:b/>
          <w:szCs w:val="22"/>
        </w:rPr>
      </w:pPr>
    </w:p>
    <w:p w:rsidR="005830D8" w:rsidRDefault="005830D8" w:rsidP="005830D8">
      <w:pPr>
        <w:jc w:val="both"/>
      </w:pPr>
      <w:r>
        <w:rPr>
          <w:b/>
          <w:szCs w:val="22"/>
        </w:rPr>
        <w:t>§ 1.</w:t>
      </w:r>
      <w:r>
        <w:rPr>
          <w:szCs w:val="22"/>
        </w:rPr>
        <w:t xml:space="preserve"> Wyraża się zamiar przekształcenia z dniem 1 września 2025 r. Szkoły Podstawowej </w:t>
      </w:r>
      <w:r>
        <w:rPr>
          <w:bCs/>
        </w:rPr>
        <w:t>im. św. Jadwigi Królowej Polski z Oddziałem Przedszkolnym w Izdebkach</w:t>
      </w:r>
      <w:r>
        <w:rPr>
          <w:bCs/>
          <w:szCs w:val="22"/>
        </w:rPr>
        <w:t xml:space="preserve"> z siedzibą 36-203 Izdebki 362 </w:t>
      </w:r>
      <w:r>
        <w:rPr>
          <w:szCs w:val="22"/>
        </w:rPr>
        <w:t>poprzez likwidację dodatkowej lokalizacji prowadzenia zajęć dydaktycznych, wychowawczych i opiekuńczych Izdebki 438, 36-203 Izdebki.</w:t>
      </w:r>
    </w:p>
    <w:p w:rsidR="005830D8" w:rsidRDefault="005830D8" w:rsidP="005830D8">
      <w:pPr>
        <w:jc w:val="center"/>
        <w:rPr>
          <w:b/>
          <w:bCs/>
          <w:szCs w:val="22"/>
        </w:rPr>
      </w:pPr>
    </w:p>
    <w:p w:rsidR="005830D8" w:rsidRDefault="005830D8" w:rsidP="005830D8">
      <w:pPr>
        <w:jc w:val="both"/>
      </w:pPr>
      <w:r>
        <w:rPr>
          <w:b/>
          <w:bCs/>
          <w:szCs w:val="22"/>
        </w:rPr>
        <w:t>§ 2.</w:t>
      </w:r>
      <w:r>
        <w:t xml:space="preserve"> </w:t>
      </w:r>
      <w:r>
        <w:rPr>
          <w:szCs w:val="22"/>
        </w:rPr>
        <w:t xml:space="preserve">Zobowiązuje się i upoważnia Wójta Gminy Nozdrzec do dokonania czynności niezbędnych do przeprowadzenia przekształcenia, o którym mowa w § 1, w szczególności do zawiadomienia o zamiarze przekształcenia Podkarpackiego Kuratora Oświaty oraz rodziców dzieci uczęszczających do Szkoły Podstawowej w Izdebkach, a także do przesłania niniejszej uchwały do Podkarpackiego Kuratora Oświaty w celu uzyskania opinii w sprawie przekształcenia Szkoły Podstawowej im. św. Jadwigi Królowej Polski z Oddziałem Przedszkolnym </w:t>
      </w:r>
      <w:r>
        <w:rPr>
          <w:szCs w:val="22"/>
        </w:rPr>
        <w:br/>
      </w:r>
      <w:r>
        <w:rPr>
          <w:szCs w:val="22"/>
        </w:rPr>
        <w:t xml:space="preserve">w Izdebkach poprzez likwidację dodatkowej lokalizacji prowadzenia zajęć dydaktycznych, wychowawczych i opiekuńczych. </w:t>
      </w:r>
    </w:p>
    <w:p w:rsidR="005830D8" w:rsidRDefault="005830D8" w:rsidP="005830D8">
      <w:pPr>
        <w:jc w:val="center"/>
        <w:rPr>
          <w:b/>
          <w:szCs w:val="22"/>
        </w:rPr>
      </w:pPr>
    </w:p>
    <w:p w:rsidR="005830D8" w:rsidRDefault="005830D8" w:rsidP="005830D8">
      <w:r>
        <w:rPr>
          <w:b/>
          <w:szCs w:val="22"/>
        </w:rPr>
        <w:t>§ 3.</w:t>
      </w:r>
      <w:r>
        <w:rPr>
          <w:b/>
          <w:szCs w:val="22"/>
        </w:rPr>
        <w:t xml:space="preserve"> </w:t>
      </w:r>
      <w:r>
        <w:rPr>
          <w:szCs w:val="22"/>
        </w:rPr>
        <w:t>Wykonanie uchwały powierza się Wójtowi Gminy Nozdrzec.</w:t>
      </w:r>
    </w:p>
    <w:p w:rsidR="005830D8" w:rsidRDefault="005830D8" w:rsidP="005830D8">
      <w:pPr>
        <w:jc w:val="center"/>
        <w:rPr>
          <w:b/>
          <w:szCs w:val="22"/>
        </w:rPr>
      </w:pPr>
      <w:r>
        <w:rPr>
          <w:b/>
          <w:szCs w:val="22"/>
        </w:rPr>
        <w:t xml:space="preserve"> </w:t>
      </w:r>
    </w:p>
    <w:p w:rsidR="005830D8" w:rsidRDefault="005830D8" w:rsidP="005830D8">
      <w:r>
        <w:rPr>
          <w:b/>
          <w:szCs w:val="22"/>
        </w:rPr>
        <w:t>§ 4.</w:t>
      </w:r>
      <w:r>
        <w:t xml:space="preserve"> </w:t>
      </w:r>
      <w:r>
        <w:rPr>
          <w:szCs w:val="22"/>
        </w:rPr>
        <w:t>Uchwała wchodzi w życie z dniem podjęcia.</w:t>
      </w:r>
    </w:p>
    <w:p w:rsidR="005830D8" w:rsidRDefault="005830D8" w:rsidP="005830D8">
      <w:pPr>
        <w:spacing w:before="240" w:after="240"/>
        <w:jc w:val="right"/>
      </w:pPr>
    </w:p>
    <w:p w:rsidR="005830D8" w:rsidRDefault="005830D8" w:rsidP="005830D8">
      <w:pPr>
        <w:spacing w:before="240" w:after="240"/>
        <w:jc w:val="right"/>
        <w:rPr>
          <w:b/>
          <w:szCs w:val="22"/>
        </w:rPr>
      </w:pPr>
    </w:p>
    <w:p w:rsidR="005830D8" w:rsidRDefault="005830D8" w:rsidP="005830D8">
      <w:pPr>
        <w:spacing w:before="240" w:after="240"/>
        <w:jc w:val="center"/>
        <w:rPr>
          <w:b/>
          <w:szCs w:val="22"/>
        </w:rPr>
      </w:pPr>
    </w:p>
    <w:p w:rsidR="005830D8" w:rsidRDefault="005830D8" w:rsidP="005830D8">
      <w:pPr>
        <w:spacing w:before="240" w:after="240"/>
        <w:jc w:val="center"/>
        <w:rPr>
          <w:b/>
          <w:szCs w:val="22"/>
        </w:rPr>
      </w:pPr>
    </w:p>
    <w:p w:rsidR="005830D8" w:rsidRDefault="005830D8" w:rsidP="005830D8">
      <w:pPr>
        <w:spacing w:before="240" w:after="240"/>
        <w:rPr>
          <w:b/>
          <w:szCs w:val="22"/>
        </w:rPr>
      </w:pPr>
    </w:p>
    <w:p w:rsidR="005830D8" w:rsidRDefault="005830D8" w:rsidP="005830D8">
      <w:pPr>
        <w:spacing w:before="240" w:after="240"/>
        <w:rPr>
          <w:b/>
          <w:szCs w:val="22"/>
        </w:rPr>
      </w:pPr>
    </w:p>
    <w:p w:rsidR="005830D8" w:rsidRDefault="005830D8" w:rsidP="005830D8">
      <w:pPr>
        <w:spacing w:before="240" w:after="240"/>
        <w:rPr>
          <w:b/>
          <w:szCs w:val="22"/>
        </w:rPr>
      </w:pPr>
    </w:p>
    <w:p w:rsidR="005830D8" w:rsidRDefault="005830D8" w:rsidP="005830D8">
      <w:pPr>
        <w:spacing w:before="240" w:after="240"/>
        <w:rPr>
          <w:b/>
          <w:szCs w:val="22"/>
        </w:rPr>
      </w:pPr>
    </w:p>
    <w:p w:rsidR="005830D8" w:rsidRDefault="005830D8" w:rsidP="005830D8">
      <w:pPr>
        <w:spacing w:before="240" w:after="240"/>
        <w:rPr>
          <w:b/>
          <w:szCs w:val="22"/>
        </w:rPr>
      </w:pPr>
    </w:p>
    <w:p w:rsidR="005830D8" w:rsidRDefault="005830D8" w:rsidP="005830D8">
      <w:pPr>
        <w:spacing w:before="240" w:after="240"/>
        <w:rPr>
          <w:b/>
          <w:szCs w:val="22"/>
        </w:rPr>
      </w:pPr>
    </w:p>
    <w:p w:rsidR="005830D8" w:rsidRDefault="005830D8" w:rsidP="005830D8">
      <w:pPr>
        <w:jc w:val="center"/>
      </w:pPr>
      <w:r>
        <w:rPr>
          <w:b/>
          <w:szCs w:val="22"/>
        </w:rPr>
        <w:lastRenderedPageBreak/>
        <w:t>UZASADNIENIE</w:t>
      </w:r>
    </w:p>
    <w:p w:rsidR="005830D8" w:rsidRDefault="005830D8" w:rsidP="005830D8">
      <w:pPr>
        <w:jc w:val="center"/>
      </w:pPr>
    </w:p>
    <w:p w:rsidR="005830D8" w:rsidRDefault="005830D8" w:rsidP="005830D8">
      <w:pPr>
        <w:ind w:firstLine="426"/>
        <w:jc w:val="both"/>
      </w:pPr>
      <w:r>
        <w:t xml:space="preserve">Procedura przekształcenia szkoły rozpoczyna się od podjęcia przez organ stanowiący jednostki samorządu terytorialnego uchwały intencyjnej wyrażającej zamiar przekształcenia szkoły. </w:t>
      </w:r>
    </w:p>
    <w:p w:rsidR="005830D8" w:rsidRDefault="005830D8" w:rsidP="005830D8">
      <w:pPr>
        <w:ind w:firstLine="426"/>
        <w:jc w:val="both"/>
      </w:pPr>
      <w:r>
        <w:t xml:space="preserve">Stosownie do art. 89 ust.1 ustawy z dnia 14 grudnia 2016r. - Prawo oświatowe (Dz. U. </w:t>
      </w:r>
      <w:r>
        <w:br/>
      </w:r>
      <w:r>
        <w:t>z 2024 r. poz. 737) oraz zgodnie z ust. 9 tego artykułu w przypadku przekształcenia publicznej szkoły lub placówki stosuje się odpowiednio przepis art. 89 ust. 1-8 i art. 88 ustawy Prawo oświatowe.</w:t>
      </w:r>
    </w:p>
    <w:p w:rsidR="005830D8" w:rsidRDefault="005830D8" w:rsidP="005830D8">
      <w:pPr>
        <w:ind w:firstLine="708"/>
        <w:jc w:val="both"/>
      </w:pPr>
      <w:r>
        <w:t>Zmianę polegającą na zamiarze przekształcenia Szkoły Podstawowej im. św. Jadwigi Królowej Polski z Oddziałem Przedszkolnym w Izdebkach poprzez likwidację dodatkowej lokalizacji prowadzenia zajęć dydaktycznych, wychowawczych i opiekuńczych</w:t>
      </w:r>
      <w:r w:rsidRPr="00281525">
        <w:t xml:space="preserve"> należy uznać za przekształcenie szkoły. </w:t>
      </w:r>
    </w:p>
    <w:p w:rsidR="005830D8" w:rsidRDefault="005830D8" w:rsidP="005830D8">
      <w:pPr>
        <w:ind w:firstLine="708"/>
        <w:jc w:val="both"/>
      </w:pPr>
      <w:r>
        <w:t>Zgodnie z w/w ustawą organ prowadzący jest obowiązany, co najmniej na 6 miesięcy przed terminem przekształcenia szkoły, zawiadomić o zamiarze przekształcenia szkoły rodziców uczniów oraz właściwego kuratora oświaty.</w:t>
      </w:r>
    </w:p>
    <w:p w:rsidR="005830D8" w:rsidRDefault="005830D8" w:rsidP="005830D8">
      <w:pPr>
        <w:ind w:firstLine="426"/>
        <w:jc w:val="both"/>
      </w:pPr>
      <w:r>
        <w:t>Natomiast zgodnie z art. 89 ust. 3 ustawy z dnia 14 grudnia 2016 r. – Prawo oświatowe szkoła publiczna prowadzona przez jednostkę samorządu terytorialnego może zostać przekształcona po uzyskaniu pozytywnej opinii kuratora oświaty.</w:t>
      </w:r>
    </w:p>
    <w:p w:rsidR="005830D8" w:rsidRDefault="005830D8" w:rsidP="005830D8">
      <w:pPr>
        <w:spacing w:before="120" w:after="120"/>
        <w:ind w:firstLine="426"/>
        <w:jc w:val="both"/>
      </w:pPr>
      <w:r>
        <w:t xml:space="preserve">Główną przesłanką uzasadniającą likwidację dodatkowej lokalizacji jest zmniejszająca się liczba dzieci podlegających obowiązkowi szkolnemu. Szkoła Podstawowa w Izdebkach posiada trzy budynki tj. siedziba Izdebki 362, w której prowadzone są zajęcia dla uczniów klas od IV do VIII, dodatkowa lokalizacja – Izdebki 282, w której prowadzone są zajęcia dla oddziału przedszkolnego oraz klas od I do III. W kolejnym budynku dodatkowej lokalizacji Izdebki 438 od dwóch lat nie odbywają się żadne zajęcia dydaktyczne, wychowawcze ani opiekuńcze ze względu na malejącą liczbę uczniów, która pozwalałaby na tworzenie podwójnych oddziałów. Prognozy demograficzne z rejonu tej szkoły nie wskazują na gwałtowną poprawę tego stanu. </w:t>
      </w:r>
    </w:p>
    <w:p w:rsidR="005830D8" w:rsidRDefault="005830D8" w:rsidP="005830D8">
      <w:pPr>
        <w:ind w:firstLine="426"/>
        <w:jc w:val="both"/>
        <w:rPr>
          <w:szCs w:val="22"/>
        </w:rPr>
      </w:pPr>
    </w:p>
    <w:tbl>
      <w:tblPr>
        <w:tblW w:w="0" w:type="auto"/>
        <w:tblInd w:w="5" w:type="dxa"/>
        <w:tblLayout w:type="fixed"/>
        <w:tblCellMar>
          <w:left w:w="0" w:type="dxa"/>
          <w:right w:w="0" w:type="dxa"/>
        </w:tblCellMar>
        <w:tblLook w:val="0000" w:firstRow="0" w:lastRow="0" w:firstColumn="0" w:lastColumn="0" w:noHBand="0" w:noVBand="0"/>
      </w:tblPr>
      <w:tblGrid>
        <w:gridCol w:w="2546"/>
        <w:gridCol w:w="1196"/>
        <w:gridCol w:w="1255"/>
        <w:gridCol w:w="1256"/>
        <w:gridCol w:w="1257"/>
        <w:gridCol w:w="1621"/>
      </w:tblGrid>
      <w:tr w:rsidR="005830D8" w:rsidTr="005D54E0">
        <w:trPr>
          <w:trHeight w:val="635"/>
        </w:trPr>
        <w:tc>
          <w:tcPr>
            <w:tcW w:w="2546"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b/>
                <w:bCs/>
                <w:szCs w:val="22"/>
              </w:rPr>
              <w:t xml:space="preserve">Dzieci urodzone </w:t>
            </w:r>
            <w:r>
              <w:rPr>
                <w:b/>
                <w:bCs/>
                <w:szCs w:val="22"/>
              </w:rPr>
              <w:br/>
            </w:r>
            <w:r>
              <w:rPr>
                <w:b/>
                <w:bCs/>
                <w:szCs w:val="22"/>
              </w:rPr>
              <w:t>w roku</w:t>
            </w:r>
          </w:p>
        </w:tc>
        <w:tc>
          <w:tcPr>
            <w:tcW w:w="1196" w:type="dxa"/>
            <w:tcBorders>
              <w:top w:val="single" w:sz="4" w:space="0" w:color="000000"/>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b/>
                <w:bCs/>
                <w:szCs w:val="22"/>
              </w:rPr>
              <w:t>2020</w:t>
            </w:r>
          </w:p>
        </w:tc>
        <w:tc>
          <w:tcPr>
            <w:tcW w:w="1255" w:type="dxa"/>
            <w:tcBorders>
              <w:top w:val="single" w:sz="4" w:space="0" w:color="000000"/>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b/>
                <w:bCs/>
                <w:szCs w:val="22"/>
              </w:rPr>
              <w:t>2021</w:t>
            </w:r>
          </w:p>
        </w:tc>
        <w:tc>
          <w:tcPr>
            <w:tcW w:w="1256" w:type="dxa"/>
            <w:tcBorders>
              <w:top w:val="single" w:sz="4" w:space="0" w:color="000000"/>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b/>
                <w:bCs/>
                <w:szCs w:val="22"/>
              </w:rPr>
              <w:t>2022</w:t>
            </w:r>
          </w:p>
        </w:tc>
        <w:tc>
          <w:tcPr>
            <w:tcW w:w="1257" w:type="dxa"/>
            <w:tcBorders>
              <w:top w:val="single" w:sz="4" w:space="0" w:color="000000"/>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b/>
                <w:bCs/>
                <w:szCs w:val="22"/>
              </w:rPr>
              <w:t>2023</w:t>
            </w:r>
          </w:p>
        </w:tc>
        <w:tc>
          <w:tcPr>
            <w:tcW w:w="1621" w:type="dxa"/>
            <w:tcBorders>
              <w:top w:val="single" w:sz="4" w:space="0" w:color="000000"/>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b/>
                <w:bCs/>
                <w:szCs w:val="22"/>
              </w:rPr>
              <w:t xml:space="preserve">2024 </w:t>
            </w:r>
          </w:p>
        </w:tc>
      </w:tr>
      <w:tr w:rsidR="005830D8" w:rsidTr="005D54E0">
        <w:trPr>
          <w:trHeight w:val="317"/>
        </w:trPr>
        <w:tc>
          <w:tcPr>
            <w:tcW w:w="2546" w:type="dxa"/>
            <w:tcBorders>
              <w:top w:val="nil"/>
              <w:left w:val="single" w:sz="4" w:space="0" w:color="000000"/>
              <w:bottom w:val="single" w:sz="4" w:space="0" w:color="000000"/>
              <w:right w:val="single" w:sz="4" w:space="0" w:color="000000"/>
            </w:tcBorders>
            <w:tcMar>
              <w:left w:w="70" w:type="dxa"/>
              <w:right w:w="70" w:type="dxa"/>
            </w:tcMar>
            <w:vAlign w:val="center"/>
          </w:tcPr>
          <w:p w:rsidR="005830D8" w:rsidRDefault="005830D8" w:rsidP="005D54E0">
            <w:pPr>
              <w:widowControl w:val="0"/>
            </w:pPr>
            <w:r>
              <w:rPr>
                <w:szCs w:val="22"/>
              </w:rPr>
              <w:t> </w:t>
            </w:r>
          </w:p>
        </w:tc>
        <w:tc>
          <w:tcPr>
            <w:tcW w:w="1196" w:type="dxa"/>
            <w:tcBorders>
              <w:top w:val="nil"/>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szCs w:val="22"/>
              </w:rPr>
              <w:t>25</w:t>
            </w:r>
          </w:p>
        </w:tc>
        <w:tc>
          <w:tcPr>
            <w:tcW w:w="1255" w:type="dxa"/>
            <w:tcBorders>
              <w:top w:val="nil"/>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szCs w:val="22"/>
              </w:rPr>
              <w:t>14</w:t>
            </w:r>
          </w:p>
        </w:tc>
        <w:tc>
          <w:tcPr>
            <w:tcW w:w="1256" w:type="dxa"/>
            <w:tcBorders>
              <w:top w:val="nil"/>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szCs w:val="22"/>
              </w:rPr>
              <w:t>25</w:t>
            </w:r>
          </w:p>
        </w:tc>
        <w:tc>
          <w:tcPr>
            <w:tcW w:w="1257" w:type="dxa"/>
            <w:tcBorders>
              <w:top w:val="nil"/>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szCs w:val="22"/>
              </w:rPr>
              <w:t>21</w:t>
            </w:r>
          </w:p>
        </w:tc>
        <w:tc>
          <w:tcPr>
            <w:tcW w:w="1621" w:type="dxa"/>
            <w:tcBorders>
              <w:top w:val="nil"/>
              <w:left w:val="nil"/>
              <w:bottom w:val="single" w:sz="4" w:space="0" w:color="000000"/>
              <w:right w:val="single" w:sz="4" w:space="0" w:color="000000"/>
            </w:tcBorders>
            <w:tcMar>
              <w:left w:w="70" w:type="dxa"/>
              <w:right w:w="70" w:type="dxa"/>
            </w:tcMar>
            <w:vAlign w:val="center"/>
          </w:tcPr>
          <w:p w:rsidR="005830D8" w:rsidRDefault="005830D8" w:rsidP="005D54E0">
            <w:pPr>
              <w:widowControl w:val="0"/>
              <w:jc w:val="center"/>
            </w:pPr>
            <w:r>
              <w:rPr>
                <w:szCs w:val="22"/>
              </w:rPr>
              <w:t>18</w:t>
            </w:r>
          </w:p>
        </w:tc>
      </w:tr>
    </w:tbl>
    <w:p w:rsidR="005830D8" w:rsidRDefault="005830D8" w:rsidP="005830D8">
      <w:pPr>
        <w:jc w:val="both"/>
        <w:rPr>
          <w:szCs w:val="22"/>
        </w:rPr>
      </w:pPr>
    </w:p>
    <w:p w:rsidR="005830D8" w:rsidRDefault="005830D8" w:rsidP="005830D8">
      <w:pPr>
        <w:ind w:firstLine="426"/>
        <w:jc w:val="both"/>
      </w:pPr>
      <w:bookmarkStart w:id="2" w:name="_Hlk178077621"/>
      <w:bookmarkEnd w:id="2"/>
      <w:r>
        <w:rPr>
          <w:szCs w:val="22"/>
        </w:rPr>
        <w:t>Wszystkie dzieci z terenu miejscowości Izdebki mają zapewniony bezpłatny transport do szkoły autobusem szkolnym.</w:t>
      </w:r>
    </w:p>
    <w:p w:rsidR="005830D8" w:rsidRDefault="005830D8" w:rsidP="005830D8">
      <w:pPr>
        <w:ind w:firstLine="426"/>
        <w:jc w:val="both"/>
      </w:pPr>
      <w:r>
        <w:rPr>
          <w:szCs w:val="22"/>
        </w:rPr>
        <w:t>Gmina Nozdrzec przeznaczy budynek Izdebki 438 na działalność żłobka z Programu Maluch+, budynek przejdzie gruntowny remont oraz zostanie wyposażony w niezbędny sprzęt do funkcjonowania żłobka.</w:t>
      </w:r>
    </w:p>
    <w:p w:rsidR="005830D8" w:rsidRDefault="005830D8" w:rsidP="005830D8">
      <w:pPr>
        <w:ind w:firstLine="426"/>
        <w:jc w:val="both"/>
      </w:pPr>
      <w:r>
        <w:rPr>
          <w:bCs/>
          <w:szCs w:val="22"/>
        </w:rPr>
        <w:t>Podjęcie niniejszej uchwały rozpocznie proces</w:t>
      </w:r>
      <w:r>
        <w:rPr>
          <w:szCs w:val="22"/>
        </w:rPr>
        <w:t xml:space="preserve"> przyjęcia kolejnej uchwały w sprawie przekształcenia.</w:t>
      </w:r>
    </w:p>
    <w:p w:rsidR="005830D8" w:rsidRDefault="005830D8" w:rsidP="005830D8">
      <w:pPr>
        <w:ind w:firstLine="426"/>
        <w:jc w:val="both"/>
        <w:rPr>
          <w:szCs w:val="22"/>
        </w:rPr>
      </w:pPr>
    </w:p>
    <w:p w:rsidR="005830D8" w:rsidRDefault="005830D8" w:rsidP="005830D8">
      <w:pPr>
        <w:ind w:firstLine="426"/>
        <w:jc w:val="both"/>
      </w:pPr>
    </w:p>
    <w:p w:rsidR="00491675" w:rsidRPr="005830D8" w:rsidRDefault="00491675"/>
    <w:sectPr w:rsidR="00491675" w:rsidRPr="005830D8" w:rsidSect="005830D8">
      <w:pgSz w:w="11906" w:h="16838"/>
      <w:pgMar w:top="1135" w:right="1417" w:bottom="1417" w:left="1417"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19"/>
    <w:rsid w:val="001D6F19"/>
    <w:rsid w:val="00491675"/>
    <w:rsid w:val="00583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32FDB-28C3-4EB7-8203-E1E2C0B7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30D8"/>
    <w:pPr>
      <w:suppressAutoHyphens/>
      <w:autoSpaceDE w:val="0"/>
      <w:autoSpaceDN w:val="0"/>
      <w:adjustRightInd w:val="0"/>
      <w:spacing w:after="0" w:line="240" w:lineRule="auto"/>
    </w:pPr>
    <w:rPr>
      <w:rFonts w:ascii="Times New Roman" w:eastAsia="SimSun" w:hAnsi="Times New Roman" w:cs="Times New Roman"/>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3536</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Wójcik</dc:creator>
  <cp:keywords/>
  <dc:description/>
  <cp:lastModifiedBy>Bogusława Wójcik</cp:lastModifiedBy>
  <cp:revision>2</cp:revision>
  <dcterms:created xsi:type="dcterms:W3CDTF">2025-01-15T08:38:00Z</dcterms:created>
  <dcterms:modified xsi:type="dcterms:W3CDTF">2025-01-15T08:42:00Z</dcterms:modified>
</cp:coreProperties>
</file>