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69" w:rsidRDefault="00A409C1">
      <w:pPr>
        <w:jc w:val="center"/>
      </w:pPr>
      <w:r>
        <w:rPr>
          <w:b/>
        </w:rPr>
        <w:t>UCHWAŁA NR …….</w:t>
      </w:r>
    </w:p>
    <w:p w:rsidR="00011469" w:rsidRDefault="00A409C1">
      <w:pPr>
        <w:jc w:val="center"/>
        <w:rPr>
          <w:b/>
        </w:rPr>
      </w:pPr>
      <w:r>
        <w:rPr>
          <w:b/>
        </w:rPr>
        <w:t>RADY GMINY NOZDRZEC</w:t>
      </w:r>
    </w:p>
    <w:p w:rsidR="00011469" w:rsidRDefault="00011469">
      <w:pPr>
        <w:jc w:val="center"/>
      </w:pPr>
    </w:p>
    <w:p w:rsidR="00011469" w:rsidRDefault="00A409C1">
      <w:pPr>
        <w:jc w:val="center"/>
      </w:pPr>
      <w:r>
        <w:t xml:space="preserve"> z dnia .................. 2025 r.</w:t>
      </w:r>
    </w:p>
    <w:p w:rsidR="00011469" w:rsidRDefault="00011469">
      <w:pPr>
        <w:jc w:val="center"/>
      </w:pPr>
    </w:p>
    <w:p w:rsidR="00011469" w:rsidRDefault="00A409C1">
      <w:pPr>
        <w:jc w:val="both"/>
        <w:rPr>
          <w:b/>
        </w:rPr>
      </w:pPr>
      <w:r>
        <w:rPr>
          <w:b/>
        </w:rPr>
        <w:t xml:space="preserve">w sprawie rozpatrzenia petycji </w:t>
      </w:r>
      <w:r w:rsidR="00E46C5E">
        <w:rPr>
          <w:b/>
        </w:rPr>
        <w:t>mieszkańców Gminy Nozdrzec</w:t>
      </w:r>
      <w:r w:rsidR="00BF5A8A">
        <w:rPr>
          <w:b/>
        </w:rPr>
        <w:t xml:space="preserve"> </w:t>
      </w:r>
      <w:r>
        <w:rPr>
          <w:b/>
        </w:rPr>
        <w:t xml:space="preserve">w przedmiocie </w:t>
      </w:r>
      <w:r w:rsidR="00E46C5E">
        <w:rPr>
          <w:b/>
        </w:rPr>
        <w:t xml:space="preserve">wyrażenia sprzeciwu wobec lokalizacji </w:t>
      </w:r>
      <w:r w:rsidR="00E46C5E" w:rsidRPr="00E46C5E">
        <w:rPr>
          <w:b/>
        </w:rPr>
        <w:t>inwestycji pod nazwą</w:t>
      </w:r>
      <w:r w:rsidR="00E46C5E">
        <w:rPr>
          <w:b/>
        </w:rPr>
        <w:t xml:space="preserve"> „Budowa budynku handlowo-usługowego wraz z infrastrukturą techniczna oraz towarzyszącą, w tym miejsca parkingowe bilboard reklamowy, zadaszenie nad strefą dostaw oraz latarnie oświetleniowe na częściach działek nr ew. 2016/40, 2016/41,2032/5, 2033 położonych </w:t>
      </w:r>
      <w:r w:rsidR="00E46C5E">
        <w:rPr>
          <w:b/>
        </w:rPr>
        <w:br/>
        <w:t>w miejscowości Nozdrzec, Gmina Nozdrzec</w:t>
      </w:r>
    </w:p>
    <w:p w:rsidR="00011469" w:rsidRDefault="00011469">
      <w:pPr>
        <w:jc w:val="both"/>
      </w:pPr>
    </w:p>
    <w:p w:rsidR="00011469" w:rsidRDefault="00A409C1">
      <w:pPr>
        <w:ind w:firstLine="426"/>
        <w:jc w:val="both"/>
      </w:pPr>
      <w:r>
        <w:t>Na podstawie art. 18 ust. 2 pkt 15 i art. 18b ustawy z dnia 8 marca 1990 r. o samorządzie gminnym (</w:t>
      </w:r>
      <w:proofErr w:type="spellStart"/>
      <w:r>
        <w:t>t.j</w:t>
      </w:r>
      <w:proofErr w:type="spellEnd"/>
      <w:r>
        <w:t>. Dz. U. z 2024 r. poz. 1465 z późn. zm.) oraz art. 9 ust. 2, art. 10 ust. 1 i art. 13 ust. 1 ustawy z dnia 11 lipca 2014 r. o petycjach (</w:t>
      </w:r>
      <w:proofErr w:type="spellStart"/>
      <w:r>
        <w:t>t.j</w:t>
      </w:r>
      <w:proofErr w:type="spellEnd"/>
      <w:r>
        <w:t>. Dz. U. z 2018 r. poz. 870 z późn. zm.),</w:t>
      </w:r>
    </w:p>
    <w:p w:rsidR="00011469" w:rsidRDefault="00A409C1">
      <w:pPr>
        <w:jc w:val="both"/>
      </w:pPr>
      <w:r>
        <w:rPr>
          <w:b/>
        </w:rPr>
        <w:t>Rada Gminy Nozdrzec</w:t>
      </w:r>
      <w:r>
        <w:t xml:space="preserve"> </w:t>
      </w:r>
      <w:r>
        <w:rPr>
          <w:b/>
        </w:rPr>
        <w:t>uchwala, co następuje:</w:t>
      </w:r>
    </w:p>
    <w:p w:rsidR="00011469" w:rsidRDefault="00011469">
      <w:pPr>
        <w:jc w:val="center"/>
        <w:rPr>
          <w:b/>
        </w:rPr>
      </w:pPr>
    </w:p>
    <w:p w:rsidR="00011469" w:rsidRPr="00744227" w:rsidRDefault="00A409C1">
      <w:pPr>
        <w:jc w:val="both"/>
      </w:pPr>
      <w:r>
        <w:rPr>
          <w:b/>
        </w:rPr>
        <w:t xml:space="preserve">§ 1. </w:t>
      </w:r>
      <w:r>
        <w:t xml:space="preserve">Uznaje się za bezzasadną petycję </w:t>
      </w:r>
      <w:r w:rsidR="00E46C5E" w:rsidRPr="00744227">
        <w:t xml:space="preserve">mieszkańców Gminy Nozdrzec w </w:t>
      </w:r>
      <w:r w:rsidR="00744227">
        <w:t>sprawie</w:t>
      </w:r>
      <w:r w:rsidR="00E46C5E" w:rsidRPr="00744227">
        <w:t xml:space="preserve"> wyrażenia sprzeciwu wobec lokalizacji inwestycji pod nazwą „Budowa budynku handlowo-usługowego wraz z infrastrukturą techniczna oraz towarzyszącą, w tym miejsca parkingowe bilboard reklamowy, zadaszenie nad strefą dostaw oraz latarnie oświetleniowe na częściach działek nr ew. 2016/40, 2016/41,2032/5, 2033 położonych w miejscowości Nozdrzec, Gmina Nozdrzec</w:t>
      </w:r>
      <w:r w:rsidRPr="00744227">
        <w:t>.</w:t>
      </w:r>
    </w:p>
    <w:p w:rsidR="00011469" w:rsidRDefault="00011469">
      <w:pPr>
        <w:jc w:val="both"/>
      </w:pPr>
    </w:p>
    <w:p w:rsidR="00011469" w:rsidRDefault="00A409C1">
      <w:pPr>
        <w:jc w:val="both"/>
      </w:pPr>
      <w:r>
        <w:rPr>
          <w:b/>
        </w:rPr>
        <w:t xml:space="preserve">§ 2. </w:t>
      </w:r>
      <w:r>
        <w:t>Uzasadnienie stanowiska Rady Gminy Nozdrzec stanowi załącznik do niniejszej uchwały.</w:t>
      </w:r>
    </w:p>
    <w:p w:rsidR="00011469" w:rsidRDefault="00011469">
      <w:pPr>
        <w:jc w:val="both"/>
      </w:pPr>
    </w:p>
    <w:p w:rsidR="00011469" w:rsidRDefault="00A409C1">
      <w:pPr>
        <w:jc w:val="both"/>
      </w:pPr>
      <w:r>
        <w:rPr>
          <w:b/>
        </w:rPr>
        <w:t xml:space="preserve">§ 3. </w:t>
      </w:r>
      <w:r>
        <w:t xml:space="preserve">Wykonanie uchwały powierza się Przewodniczącemu Rady Gminy Nozdrzec </w:t>
      </w:r>
      <w:r w:rsidR="00E46C5E">
        <w:br/>
      </w:r>
      <w:r>
        <w:t>i zobowiązuje się go do poinformowania wnoszącego petycję o sposobie jej rozpatrzenia.</w:t>
      </w:r>
    </w:p>
    <w:p w:rsidR="00011469" w:rsidRDefault="00011469">
      <w:pPr>
        <w:jc w:val="both"/>
      </w:pPr>
    </w:p>
    <w:p w:rsidR="00011469" w:rsidRDefault="00A409C1">
      <w:pPr>
        <w:jc w:val="both"/>
      </w:pPr>
      <w:r>
        <w:rPr>
          <w:b/>
        </w:rPr>
        <w:t xml:space="preserve">§ 4. </w:t>
      </w:r>
      <w:r>
        <w:t>Uchwała wchodzi w życie z dniem podjęcia.</w:t>
      </w:r>
    </w:p>
    <w:p w:rsidR="00011469" w:rsidRDefault="00011469">
      <w:pPr>
        <w:spacing w:before="240"/>
        <w:ind w:firstLine="426"/>
        <w:jc w:val="both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011469" w:rsidRDefault="00011469">
      <w:pPr>
        <w:spacing w:before="240"/>
        <w:ind w:firstLine="426"/>
        <w:jc w:val="center"/>
      </w:pPr>
    </w:p>
    <w:p w:rsidR="00A409C1" w:rsidRDefault="00A409C1" w:rsidP="00454DE0">
      <w:pPr>
        <w:spacing w:before="240"/>
      </w:pPr>
    </w:p>
    <w:p w:rsidR="00454DE0" w:rsidRDefault="00454DE0">
      <w:pPr>
        <w:ind w:firstLine="426"/>
        <w:jc w:val="right"/>
      </w:pPr>
    </w:p>
    <w:p w:rsidR="00011469" w:rsidRDefault="00A409C1">
      <w:pPr>
        <w:ind w:firstLine="426"/>
        <w:jc w:val="right"/>
      </w:pPr>
      <w:r>
        <w:lastRenderedPageBreak/>
        <w:t>Załącznik do Uchwały Nr ……….</w:t>
      </w:r>
    </w:p>
    <w:p w:rsidR="00011469" w:rsidRDefault="00A409C1">
      <w:pPr>
        <w:ind w:firstLine="426"/>
        <w:jc w:val="right"/>
      </w:pPr>
      <w:r>
        <w:t xml:space="preserve">Rady Gminy Nozdrzec </w:t>
      </w:r>
    </w:p>
    <w:p w:rsidR="00011469" w:rsidRDefault="00A409C1">
      <w:pPr>
        <w:ind w:firstLine="426"/>
        <w:jc w:val="right"/>
      </w:pPr>
      <w:r>
        <w:t>z dnia ……………………</w:t>
      </w:r>
    </w:p>
    <w:p w:rsidR="00011469" w:rsidRDefault="00011469">
      <w:pPr>
        <w:ind w:firstLine="426"/>
        <w:jc w:val="right"/>
      </w:pPr>
    </w:p>
    <w:p w:rsidR="00011469" w:rsidRDefault="00011469">
      <w:pPr>
        <w:ind w:firstLine="426"/>
        <w:jc w:val="center"/>
      </w:pPr>
    </w:p>
    <w:p w:rsidR="00011469" w:rsidRDefault="00A409C1">
      <w:pPr>
        <w:ind w:firstLine="426"/>
        <w:jc w:val="center"/>
      </w:pPr>
      <w:r>
        <w:t xml:space="preserve">Uzasadnienie </w:t>
      </w:r>
    </w:p>
    <w:p w:rsidR="00011469" w:rsidRDefault="00011469" w:rsidP="00454DE0">
      <w:pPr>
        <w:spacing w:line="276" w:lineRule="auto"/>
        <w:ind w:firstLine="426"/>
        <w:jc w:val="both"/>
      </w:pPr>
    </w:p>
    <w:p w:rsidR="00011469" w:rsidRPr="00744227" w:rsidRDefault="00A409C1" w:rsidP="00454DE0">
      <w:pPr>
        <w:spacing w:line="276" w:lineRule="auto"/>
        <w:jc w:val="both"/>
      </w:pPr>
      <w:r>
        <w:t xml:space="preserve">W dniu </w:t>
      </w:r>
      <w:r w:rsidR="00744227">
        <w:t>3</w:t>
      </w:r>
      <w:r>
        <w:t xml:space="preserve"> </w:t>
      </w:r>
      <w:r w:rsidR="00744227">
        <w:t>czerwca</w:t>
      </w:r>
      <w:r>
        <w:t xml:space="preserve"> 2025 r. do Urzędu Gminy w Nozdrzcu wpłynęła petycja </w:t>
      </w:r>
      <w:r w:rsidR="00744227" w:rsidRPr="00744227">
        <w:t xml:space="preserve">mieszkańców Gminy Nozdrzec w </w:t>
      </w:r>
      <w:r w:rsidR="008C1760">
        <w:t>sprawie</w:t>
      </w:r>
      <w:r w:rsidR="00744227" w:rsidRPr="00744227">
        <w:t xml:space="preserve"> wyrażenia sprzeciwu wobec lokalizacji inwestycji pod nazwą „Budowa budynku handlowo-usługowego wraz z infrastrukturą techniczna oraz towarzyszącą, w tym miejsca parkingowe bilboard reklamowy, zadaszenie nad strefą dostaw oraz latarnie oświetleniowe na częściach działek nr ew. 2016/40, 2016/41,2032/5, 2033 położonych </w:t>
      </w:r>
      <w:r w:rsidR="00744227" w:rsidRPr="00744227">
        <w:br/>
        <w:t>w miejscowości Nozdrzec, Gmina Nozdrzec</w:t>
      </w:r>
      <w:r w:rsidR="008C1760">
        <w:t>.</w:t>
      </w:r>
    </w:p>
    <w:p w:rsidR="00454DE0" w:rsidRDefault="00454DE0" w:rsidP="00454DE0">
      <w:pPr>
        <w:spacing w:line="276" w:lineRule="auto"/>
        <w:jc w:val="both"/>
      </w:pPr>
    </w:p>
    <w:p w:rsidR="00454DE0" w:rsidRDefault="00454DE0" w:rsidP="00454DE0">
      <w:pPr>
        <w:spacing w:line="276" w:lineRule="auto"/>
        <w:jc w:val="both"/>
      </w:pPr>
      <w:r>
        <w:t>Zgodnie z art. 9 ust. 2 ustawy z dnia 11 lipca 2014 r. o petycjach (</w:t>
      </w:r>
      <w:proofErr w:type="spellStart"/>
      <w:r>
        <w:t>t.j</w:t>
      </w:r>
      <w:proofErr w:type="spellEnd"/>
      <w:r>
        <w:t xml:space="preserve">. Dz. U. z 2018 r. poz. 870 z późn. zm.), petycja złożona do organu stanowiącego jednostki samorządu terytorialnego jest rozpatrywana przez ten organ. </w:t>
      </w:r>
    </w:p>
    <w:p w:rsidR="00454DE0" w:rsidRDefault="00454DE0" w:rsidP="00454DE0">
      <w:pPr>
        <w:spacing w:line="276" w:lineRule="auto"/>
        <w:jc w:val="both"/>
      </w:pPr>
    </w:p>
    <w:p w:rsidR="00454DE0" w:rsidRDefault="00454DE0" w:rsidP="00454DE0">
      <w:pPr>
        <w:spacing w:line="276" w:lineRule="auto"/>
        <w:jc w:val="both"/>
      </w:pPr>
      <w:r>
        <w:t>Jednocześnie zgodnie z art. 18b ust. 1 ustawy z dnia 8 marca 1990 r. o samorządzie gminnym (</w:t>
      </w:r>
      <w:proofErr w:type="spellStart"/>
      <w:r>
        <w:t>t.j</w:t>
      </w:r>
      <w:proofErr w:type="spellEnd"/>
      <w:r>
        <w:t xml:space="preserve">. Dz. U. z 2024 r. poz. 1465 z późn. zm.), rada gminy rozpatruje skargi na działania wójta </w:t>
      </w:r>
      <w:r>
        <w:br/>
        <w:t>i gminnych jednostek organizacyjnych, wnioski oraz petycje składane przez obywateli, w tym celu powołuje Komisję Skarg, Wniosków i Petycji.</w:t>
      </w:r>
    </w:p>
    <w:p w:rsidR="00454DE0" w:rsidRDefault="00454DE0" w:rsidP="00454DE0">
      <w:pPr>
        <w:spacing w:line="276" w:lineRule="auto"/>
        <w:jc w:val="both"/>
      </w:pPr>
    </w:p>
    <w:p w:rsidR="00454DE0" w:rsidRDefault="00454DE0" w:rsidP="008C1760">
      <w:pPr>
        <w:spacing w:line="276" w:lineRule="auto"/>
        <w:jc w:val="both"/>
        <w:textAlignment w:val="baseline"/>
      </w:pPr>
      <w:r>
        <w:t xml:space="preserve">Biorąc pod uwagę powyższe, Przewodniczący Rady Gminy Nozdrzec przekazał przedmiotową petycję do Komisji Skarg, Wniosków i Petycji, statutowo właściwej do rozpatrzenia sprawy. </w:t>
      </w:r>
    </w:p>
    <w:p w:rsidR="00454DE0" w:rsidRDefault="00454DE0" w:rsidP="008C1760">
      <w:pPr>
        <w:spacing w:line="276" w:lineRule="auto"/>
        <w:jc w:val="both"/>
        <w:textAlignment w:val="baseline"/>
      </w:pPr>
    </w:p>
    <w:p w:rsidR="00454DE0" w:rsidRDefault="00454DE0" w:rsidP="008C1760">
      <w:pPr>
        <w:spacing w:line="276" w:lineRule="auto"/>
        <w:jc w:val="both"/>
        <w:textAlignment w:val="baseline"/>
      </w:pPr>
      <w:r>
        <w:t>Komisja Skarg, Wniosków i Petycji na posiedzeniach 16 czerwca 2025 r. i 15 lipca 2025 r., dokonała szczegółowej analizy wniesionej petycji.</w:t>
      </w:r>
    </w:p>
    <w:p w:rsidR="00744227" w:rsidRDefault="00744227" w:rsidP="00454DE0">
      <w:pPr>
        <w:spacing w:line="276" w:lineRule="auto"/>
        <w:jc w:val="both"/>
      </w:pPr>
    </w:p>
    <w:p w:rsidR="00744227" w:rsidRDefault="00744227" w:rsidP="00454DE0">
      <w:pPr>
        <w:spacing w:line="276" w:lineRule="auto"/>
        <w:jc w:val="both"/>
      </w:pPr>
      <w:r>
        <w:t xml:space="preserve">Na wstępie wskazać należy, iż zgodnie z definicją legalną określoną w art. 2 ust. 3 ustawy </w:t>
      </w:r>
      <w:r w:rsidR="008C1760">
        <w:br/>
      </w:r>
      <w:r>
        <w:t>z dnia 11 lipca 2014 r. o petycjach (</w:t>
      </w:r>
      <w:proofErr w:type="spellStart"/>
      <w:r>
        <w:t>t.j</w:t>
      </w:r>
      <w:proofErr w:type="spellEnd"/>
      <w:r>
        <w:t xml:space="preserve">. Dz. U. z 2018 r. poz. 870),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</w:t>
      </w:r>
    </w:p>
    <w:p w:rsidR="00744227" w:rsidRDefault="00744227" w:rsidP="00454DE0">
      <w:pPr>
        <w:spacing w:line="276" w:lineRule="auto"/>
        <w:jc w:val="both"/>
      </w:pPr>
      <w:r>
        <w:t>Nawiązując do przytoczonego powyżej przepisu, można stwierdzić, że istotą petycji jest żądanie podjęcia przez organ władzy publicznej określonego działania, ale w granicach zadań i kompetencji tego organu.</w:t>
      </w:r>
    </w:p>
    <w:p w:rsidR="00744227" w:rsidRDefault="00744227" w:rsidP="00454DE0">
      <w:pPr>
        <w:spacing w:line="276" w:lineRule="auto"/>
        <w:jc w:val="both"/>
      </w:pPr>
      <w:r>
        <w:t>W tym miejscu należy nadmienić, iż przepis art. 7 ust. 1 pkt 14 ustawy z dnia 8 marca 1990 r. o samorządzie gminnym (</w:t>
      </w:r>
      <w:proofErr w:type="spellStart"/>
      <w:r>
        <w:t>t.j</w:t>
      </w:r>
      <w:proofErr w:type="spellEnd"/>
      <w:r>
        <w:t xml:space="preserve">. Dz. U. z 2024 r. poz. 1465 z późn. zm.) nie kształtuje uprawnienia rady gminy do podejmowania uchwał w określonym zakresie, lecz wskazuje na katalog zadań własnych gminy. Zadania te następnie są uszczegóławiane w odrębnych przepisach lub </w:t>
      </w:r>
      <w:r>
        <w:lastRenderedPageBreak/>
        <w:t xml:space="preserve">odrębnych aktach prawnych, które określają uprawnienia poszczególnych organów gminy, </w:t>
      </w:r>
      <w:r w:rsidR="009D64E2">
        <w:br/>
      </w:r>
      <w:r>
        <w:t xml:space="preserve">w tym rady gminy. </w:t>
      </w:r>
    </w:p>
    <w:p w:rsidR="00744227" w:rsidRDefault="00744227" w:rsidP="00454DE0">
      <w:pPr>
        <w:spacing w:line="276" w:lineRule="auto"/>
        <w:jc w:val="both"/>
      </w:pPr>
      <w:r>
        <w:t xml:space="preserve">Mając na względzie powyższe uregulowania, należy z całą stanowczością stwierdzić, że brak jest materialnoprawnej podstawy do </w:t>
      </w:r>
      <w:r w:rsidR="009D64E2">
        <w:t xml:space="preserve">wniesienia </w:t>
      </w:r>
      <w:r w:rsidR="008C1760">
        <w:t xml:space="preserve">petycji w sprawie </w:t>
      </w:r>
      <w:r w:rsidR="009D64E2">
        <w:t xml:space="preserve">sprzeciwu co do lokalizacji inwestycji na danej nieruchomości oraz </w:t>
      </w:r>
      <w:r>
        <w:t xml:space="preserve">podjęcia uchwały w sprawie zakupu przedmiotowej nieruchomości, albowiem Rada Gminy może podejmować uchwały w zakresie zadań gminy wskazanych w art. 18 ustawy z dnia 8 marca 1990 r. o samorządzie gminnym, a zatem </w:t>
      </w:r>
      <w:r w:rsidR="008C1760">
        <w:br/>
      </w:r>
      <w:bookmarkStart w:id="0" w:name="_GoBack"/>
      <w:bookmarkEnd w:id="0"/>
      <w:r>
        <w:t xml:space="preserve">o sprawach publicznych o znaczeniu lokalnym niezastrzeżonych ustawami na rzecz innych podmiotów. </w:t>
      </w:r>
    </w:p>
    <w:p w:rsidR="00744227" w:rsidRDefault="00744227" w:rsidP="00454DE0">
      <w:pPr>
        <w:spacing w:line="276" w:lineRule="auto"/>
        <w:jc w:val="both"/>
      </w:pPr>
      <w:r>
        <w:t>Innymi słowy, Rada Gminy Nozdrzec nie ma podstaw prawnych do podjęcia działań mających na celu uwzględnienie wniosków zawartych w petycji - żaden bowiem powszechnie obowiązujący akt prawny rangi ustawowej nie reguluje kwestii podejmowania uchwał przez radę gminy w tymże zakresie.</w:t>
      </w:r>
    </w:p>
    <w:p w:rsidR="00744227" w:rsidRDefault="00744227" w:rsidP="00454DE0">
      <w:pPr>
        <w:spacing w:line="276" w:lineRule="auto"/>
        <w:jc w:val="both"/>
      </w:pPr>
      <w:r>
        <w:t>Należy w tym miejscu wskazać, iż Rada Gminy Nozdrzec może jedynie wyrazić w tym zakresie opinię – jednak nie jest ona wiążąca dla organu wykonawczego Gminy.</w:t>
      </w:r>
    </w:p>
    <w:p w:rsidR="00744227" w:rsidRDefault="00744227" w:rsidP="00454DE0">
      <w:pPr>
        <w:spacing w:line="276" w:lineRule="auto"/>
        <w:jc w:val="both"/>
      </w:pPr>
      <w:r>
        <w:t>Zgodnie z art. 4 ustawy z dnia 7 lipca 1994 r. Prawo budowlane (</w:t>
      </w:r>
      <w:proofErr w:type="spellStart"/>
      <w:r>
        <w:t>t.j</w:t>
      </w:r>
      <w:proofErr w:type="spellEnd"/>
      <w:r>
        <w:t xml:space="preserve">. Dz. U. z 2025 r. poz. 418), każdy ma prawo zabudowy nieruchomości gruntowej, jeżeli wykaże prawo do dysponowania nieruchomością na cele budowlane, pod warunkiem zgodności zamierzenia budowlanego </w:t>
      </w:r>
      <w:r w:rsidR="009D64E2">
        <w:br/>
      </w:r>
      <w:r>
        <w:t xml:space="preserve">z przepisami. </w:t>
      </w:r>
    </w:p>
    <w:p w:rsidR="00744227" w:rsidRDefault="00744227" w:rsidP="00454DE0">
      <w:pPr>
        <w:spacing w:line="276" w:lineRule="auto"/>
        <w:jc w:val="both"/>
      </w:pPr>
      <w:r>
        <w:t xml:space="preserve">Natomiast, zgodnie z wyrokiem Naczelnego Sądu Administracyjnego z dnia 14 lipca 2016 r., II OSK 2811/14 art. 4 ww. ustawy nie daje uprawnienia do przesądzenia przez właściciela </w:t>
      </w:r>
      <w:r w:rsidR="009D64E2">
        <w:br/>
      </w:r>
      <w:r>
        <w:t xml:space="preserve">o przeznaczeniu zabudowy nieruchomości gruntowej na cel wyznaczony według własnej woli. Miejscowy plan zagospodarowania przestrzennego ogranicza tę swobodę. </w:t>
      </w:r>
    </w:p>
    <w:p w:rsidR="00744227" w:rsidRDefault="00744227" w:rsidP="00454DE0">
      <w:pPr>
        <w:spacing w:line="276" w:lineRule="auto"/>
        <w:jc w:val="both"/>
      </w:pPr>
      <w:r>
        <w:t xml:space="preserve">W związku z powyższym zadaniem organu administracji nie jest uniemożliwienie korzystania z prawa zabudowy, w przypadku, gdy projektowana zabudowa spełniać będzie obowiązujące przepisy prawa. </w:t>
      </w:r>
    </w:p>
    <w:p w:rsidR="00744227" w:rsidRDefault="00744227" w:rsidP="00454DE0">
      <w:pPr>
        <w:spacing w:line="276" w:lineRule="auto"/>
        <w:jc w:val="both"/>
      </w:pPr>
      <w:r>
        <w:t xml:space="preserve">W wyroku Wojewódzkiego Sądu Administracyjnego w Krakowie z dnia 25 października </w:t>
      </w:r>
      <w:r w:rsidR="009D64E2">
        <w:br/>
      </w:r>
      <w:r>
        <w:t xml:space="preserve">2019 r., II SA/Kr 804/19 rozstrzygnięto, iż prawo zabudowy może być ograniczone tylko przepisami prawa powszechnie obowiązującego oraz ustaleniami miejscowego planu zagospodarowania przestrzennego - i tylko w tym zakresie organ administracji architektoniczno-budowlanej może ingerować w planowaną zabudowę. </w:t>
      </w:r>
    </w:p>
    <w:p w:rsidR="00744227" w:rsidRDefault="009D64E2" w:rsidP="00454DE0">
      <w:pPr>
        <w:spacing w:line="276" w:lineRule="auto"/>
        <w:jc w:val="both"/>
      </w:pPr>
      <w:r>
        <w:t>O</w:t>
      </w:r>
      <w:r w:rsidR="00744227">
        <w:t xml:space="preserve">rgan administracji architektoniczno-budowlanej, odmawiając bądź wydając pozwolenie na budowę kieruje się ściśle określonymi w przepisach prawa wytycznymi. Podstawę wydania konkretnej decyzji stanowią przepisy prawa materialnego. Zgodnie z art. 35 ust. 1 ustawy </w:t>
      </w:r>
      <w:r>
        <w:br/>
      </w:r>
      <w:r w:rsidR="00744227">
        <w:t xml:space="preserve">z dnia 7 lipca 1994 r. Prawo budowlane przed wydaniem decyzji o pozwoleniu na budowę lub odrębnej decyzji o zatwierdzeniu projektu zagospodarowania działki lub terenu oraz projektu architektoniczno-budowlanego właściwy organ sprawdza: </w:t>
      </w:r>
    </w:p>
    <w:p w:rsidR="00744227" w:rsidRDefault="00744227" w:rsidP="00454DE0">
      <w:pPr>
        <w:spacing w:line="276" w:lineRule="auto"/>
        <w:jc w:val="both"/>
      </w:pPr>
      <w:r>
        <w:t xml:space="preserve">1) zgodność projektu zagospodarowania działki lub terenu oraz projektu architektoniczno-budowlanego z: </w:t>
      </w:r>
    </w:p>
    <w:p w:rsidR="00744227" w:rsidRDefault="00744227" w:rsidP="00454DE0">
      <w:pPr>
        <w:spacing w:line="276" w:lineRule="auto"/>
        <w:jc w:val="both"/>
      </w:pPr>
      <w:r>
        <w:t>- ustaleniami miejscowego planu zagospodarowania przestrzennego i innymi aktami prawa miejscowego albo decyzji o warunkach zabudowy i zagospodarowania terenu w przypadku braku miejscowego planu,</w:t>
      </w:r>
    </w:p>
    <w:p w:rsidR="00744227" w:rsidRDefault="00744227" w:rsidP="00454DE0">
      <w:pPr>
        <w:spacing w:line="276" w:lineRule="auto"/>
        <w:jc w:val="both"/>
      </w:pPr>
      <w:r>
        <w:t xml:space="preserve">- wymaganiami ochrony środowiska, w szczególności określonymi w decyzji </w:t>
      </w:r>
      <w:r w:rsidR="009D64E2">
        <w:br/>
      </w:r>
      <w:r>
        <w:t xml:space="preserve">o środowiskowych uwarunkowaniach, o której mowa w art. 71 ust. 1 ustawy z dnia 3 października 2008 r. o udostępnianiu informacji o środowisku i jego ochronie, udziale </w:t>
      </w:r>
      <w:r>
        <w:lastRenderedPageBreak/>
        <w:t>społeczeństwa w ochronie środowiska oraz o ocenach oddziaływania na środowisko, - ustaleniami uchwały o ustaleniu lokalizacji inwestycji mieszkaniowej;</w:t>
      </w:r>
    </w:p>
    <w:p w:rsidR="00744227" w:rsidRDefault="00744227" w:rsidP="00454DE0">
      <w:pPr>
        <w:spacing w:line="276" w:lineRule="auto"/>
        <w:jc w:val="both"/>
      </w:pPr>
      <w:r>
        <w:t>2) zgodność projektu zagospodarowania działki lub terenu z przepisami, w tym techniczno-budowlanymi;</w:t>
      </w:r>
    </w:p>
    <w:p w:rsidR="00744227" w:rsidRDefault="00744227" w:rsidP="00454DE0">
      <w:pPr>
        <w:spacing w:line="276" w:lineRule="auto"/>
        <w:jc w:val="both"/>
      </w:pPr>
      <w:r>
        <w:t>3) kompletność projektu zagospodarowania działki lub terenu oraz projektu architektoniczno-budowlanego, w tym dołączenie kopii zaświadczenia, o którym mowa w art. 12 ust. 7, dotyczącego projektanta i projektanta sprawdzającego,</w:t>
      </w:r>
    </w:p>
    <w:p w:rsidR="00744227" w:rsidRDefault="00744227" w:rsidP="00454DE0">
      <w:pPr>
        <w:spacing w:line="276" w:lineRule="auto"/>
        <w:jc w:val="both"/>
      </w:pPr>
      <w:r>
        <w:t xml:space="preserve">4) dołączenie wymaganych opinii, uzgodnień, pozwoleń i sprawdzeń oraz oświadczeń, </w:t>
      </w:r>
      <w:r w:rsidR="009D64E2">
        <w:br/>
      </w:r>
      <w:r>
        <w:t>o których mowa w art. 33 ust. 2 pkt 9 i 10;</w:t>
      </w:r>
    </w:p>
    <w:p w:rsidR="00744227" w:rsidRDefault="00744227" w:rsidP="00454DE0">
      <w:pPr>
        <w:spacing w:line="276" w:lineRule="auto"/>
        <w:jc w:val="both"/>
      </w:pPr>
      <w:r>
        <w:t xml:space="preserve">5) posiadanie przez projektanta i projektanta sprawdzającego odpowiednich uprawnień budowlanych na podstawie: - kopii dokumentów, o których mowa w art. 34 ust. 3d pkt 1 - </w:t>
      </w:r>
      <w:r w:rsidR="009D64E2">
        <w:br/>
      </w:r>
      <w:r>
        <w:t xml:space="preserve">w przypadku uprawnień niewpisanych do centralnego rejestru osób posiadających uprawnienia budowlane, - danych w centralnym rejestrze osób posiadających uprawnienia budowlane – </w:t>
      </w:r>
      <w:r w:rsidR="009D64E2">
        <w:br/>
      </w:r>
      <w:r>
        <w:t>w przypadku uprawnień wpisanych do tego rejestru;</w:t>
      </w:r>
    </w:p>
    <w:p w:rsidR="00744227" w:rsidRDefault="00744227" w:rsidP="00454DE0">
      <w:pPr>
        <w:spacing w:line="276" w:lineRule="auto"/>
        <w:jc w:val="both"/>
      </w:pPr>
      <w:r>
        <w:t>6) przynależność projektanta i projektanta sprawdzającego do właściwej izby samorządu zawodowego na podstawie: -zaświadczenia, o którym mowa w art. 12 ust. 7 - w przypadku osób niewpisanych do centralnego rejestru osób posiadających uprawnienia budowlane, - danych w centralnym rejestrze osób posiadających uprawnienia budowlane – w przypadku osób wpisanych do tego rejestru.</w:t>
      </w:r>
    </w:p>
    <w:p w:rsidR="00744227" w:rsidRDefault="00744227" w:rsidP="00454DE0">
      <w:pPr>
        <w:spacing w:line="276" w:lineRule="auto"/>
        <w:jc w:val="both"/>
      </w:pPr>
      <w:r>
        <w:t xml:space="preserve">Reasumując, zgodnie z ww. przepisami możliwe jest wyłącznie sprawdzenie zgodności projektu budowlanego z ustaleniami miejscowego planu zagospodarowania przestrzennego lub decyzji o warunkach zabudowy i zagospodarowania terenu w przypadku braku miejscowego planu oraz wymaganiami ochrony środowiska, a także z innymi przepisami, w tym techniczno-budowlanymi. Sprawdzenie zgodności z przepisami, w tym techniczno-budowlanymi zgodnie z art. 35 ust. 1 pkt 2 Prawa budowlanego ogranicza się wyłącznie do projektu zagospodarowania działki lub terenu. </w:t>
      </w:r>
    </w:p>
    <w:p w:rsidR="00744227" w:rsidRDefault="00744227" w:rsidP="00454DE0">
      <w:pPr>
        <w:spacing w:line="276" w:lineRule="auto"/>
        <w:jc w:val="both"/>
      </w:pPr>
      <w:r>
        <w:t xml:space="preserve">Organ nie jest uprawniony do badania zgodności projektu architektoniczno-budowlanego </w:t>
      </w:r>
      <w:r w:rsidR="009D64E2">
        <w:br/>
      </w:r>
      <w:r>
        <w:t xml:space="preserve">z przepisami techniczno-budowlanymi lub innymi przepisami prawa, poza przepisami określającymi wymogi ochrony środowiska. </w:t>
      </w:r>
    </w:p>
    <w:p w:rsidR="00744227" w:rsidRDefault="00744227" w:rsidP="00454DE0">
      <w:pPr>
        <w:spacing w:line="276" w:lineRule="auto"/>
        <w:jc w:val="both"/>
      </w:pPr>
      <w:r>
        <w:t>Zatem, jeżeli Wnioskodawca spełnił wymagania określone w art. 35 ust. 1 oraz w art. 32 ust. 4 ustawy z dnia 7 lipca 1994 r. – Prawo budowlane, a przedłożona dokumentacja była kompletna i posiadała wymagane opinie oraz sprawdzenia, w tym m.in. oświadczenie o posiadanym prawie do dysponowania nieruchomością na cele budowlane, organ II instancji nie mógł odmówić wydania decyzji o pozwoleniu na budowę.</w:t>
      </w:r>
    </w:p>
    <w:p w:rsidR="00744227" w:rsidRDefault="00744227" w:rsidP="00454DE0">
      <w:pPr>
        <w:spacing w:line="276" w:lineRule="auto"/>
        <w:jc w:val="both"/>
      </w:pPr>
      <w:r>
        <w:t xml:space="preserve">Reasumując, przedmiotowa petycja nie dotyczy kwestii mieszczących się w zakresie zadań </w:t>
      </w:r>
      <w:r w:rsidR="009D64E2">
        <w:br/>
      </w:r>
      <w:r>
        <w:t>i kompetencji organu do którego została skierowana, tj. Rady Gminy Nozdrzec, a co za tym idzie brak jest możliwości jej uwzględnienia z uwagi na jej całkowitą bezzasadność.</w:t>
      </w:r>
    </w:p>
    <w:p w:rsidR="00744227" w:rsidRDefault="00744227" w:rsidP="00454DE0">
      <w:pPr>
        <w:spacing w:line="276" w:lineRule="auto"/>
        <w:ind w:firstLine="708"/>
        <w:jc w:val="right"/>
      </w:pPr>
    </w:p>
    <w:p w:rsidR="00744227" w:rsidRDefault="00744227" w:rsidP="00454DE0">
      <w:pPr>
        <w:spacing w:line="276" w:lineRule="auto"/>
        <w:jc w:val="both"/>
      </w:pPr>
    </w:p>
    <w:p w:rsidR="00744227" w:rsidRDefault="00744227" w:rsidP="00454DE0">
      <w:pPr>
        <w:spacing w:line="276" w:lineRule="auto"/>
        <w:jc w:val="both"/>
      </w:pPr>
    </w:p>
    <w:p w:rsidR="00011469" w:rsidRDefault="00011469">
      <w:pPr>
        <w:jc w:val="both"/>
      </w:pPr>
    </w:p>
    <w:sectPr w:rsidR="00011469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69"/>
    <w:rsid w:val="00011469"/>
    <w:rsid w:val="0029609D"/>
    <w:rsid w:val="00307621"/>
    <w:rsid w:val="00454DE0"/>
    <w:rsid w:val="00461A59"/>
    <w:rsid w:val="00744227"/>
    <w:rsid w:val="008C1760"/>
    <w:rsid w:val="009D64E2"/>
    <w:rsid w:val="00A409C1"/>
    <w:rsid w:val="00B159F5"/>
    <w:rsid w:val="00BF5A8A"/>
    <w:rsid w:val="00CA62C0"/>
    <w:rsid w:val="00E4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2246C-7203-482D-A81B-E962C98E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977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4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4E2"/>
    <w:rPr>
      <w:rFonts w:ascii="Segoe UI" w:eastAsia="Times New Roman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dc:description/>
  <cp:lastModifiedBy>Bogusława Wójcik</cp:lastModifiedBy>
  <cp:revision>17</cp:revision>
  <cp:lastPrinted>2025-07-17T11:17:00Z</cp:lastPrinted>
  <dcterms:created xsi:type="dcterms:W3CDTF">2025-05-22T09:49:00Z</dcterms:created>
  <dcterms:modified xsi:type="dcterms:W3CDTF">2025-07-17T11:48:00Z</dcterms:modified>
  <dc:language>pl-PL</dc:language>
</cp:coreProperties>
</file>